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DF" w:rsidRPr="00702832" w:rsidRDefault="002B64DF" w:rsidP="001F1DF3">
      <w:pPr>
        <w:rPr>
          <w:rFonts w:ascii="Times New Roman" w:hAnsi="Times New Roman" w:cs="Times New Roman"/>
          <w:b/>
          <w:lang w:val="en-GB"/>
        </w:rPr>
      </w:pPr>
      <w:r w:rsidRPr="00702832">
        <w:rPr>
          <w:rFonts w:ascii="Times New Roman" w:hAnsi="Times New Roman" w:cs="Times New Roman"/>
          <w:b/>
          <w:lang w:val="en-GB"/>
        </w:rPr>
        <w:t>RISK OF INCIDENT CARDIOVASCULAR DISEASE ACCORDING TO THE METABOLIC HEALTH AND OBESITY STAT</w:t>
      </w:r>
      <w:r w:rsidR="004352B3">
        <w:rPr>
          <w:rFonts w:ascii="Times New Roman" w:hAnsi="Times New Roman" w:cs="Times New Roman"/>
          <w:b/>
          <w:lang w:val="en-GB"/>
        </w:rPr>
        <w:t>ES</w:t>
      </w:r>
    </w:p>
    <w:p w:rsidR="001F1DF3" w:rsidRDefault="001F1DF3" w:rsidP="001F1DF3">
      <w:pPr>
        <w:rPr>
          <w:rFonts w:ascii="Times New Roman" w:hAnsi="Times New Roman" w:cs="Times New Roman"/>
          <w:lang w:val="es-ES"/>
        </w:rPr>
      </w:pPr>
      <w:r w:rsidRPr="001F1DF3">
        <w:rPr>
          <w:rFonts w:ascii="Times New Roman" w:hAnsi="Times New Roman" w:cs="Times New Roman"/>
          <w:b/>
          <w:bCs/>
          <w:u w:val="single"/>
          <w:lang w:val="es-ES"/>
        </w:rPr>
        <w:t>D. Navarro-González</w:t>
      </w:r>
      <w:r w:rsidRPr="001F1DF3">
        <w:rPr>
          <w:rFonts w:ascii="Times New Roman" w:hAnsi="Times New Roman" w:cs="Times New Roman"/>
          <w:b/>
          <w:bCs/>
          <w:u w:val="single"/>
          <w:vertAlign w:val="superscript"/>
          <w:lang w:val="es-ES"/>
        </w:rPr>
        <w:t>1</w:t>
      </w:r>
      <w:r w:rsidRPr="00702832">
        <w:rPr>
          <w:rFonts w:ascii="Times New Roman" w:hAnsi="Times New Roman" w:cs="Times New Roman"/>
          <w:lang w:val="es-ES"/>
        </w:rPr>
        <w:t>, L</w:t>
      </w:r>
      <w:r>
        <w:rPr>
          <w:rFonts w:ascii="Times New Roman" w:hAnsi="Times New Roman" w:cs="Times New Roman"/>
          <w:lang w:val="es-ES"/>
        </w:rPr>
        <w:t>.</w:t>
      </w:r>
      <w:r w:rsidRPr="00702832">
        <w:rPr>
          <w:rFonts w:ascii="Times New Roman" w:hAnsi="Times New Roman" w:cs="Times New Roman"/>
          <w:lang w:val="es-ES"/>
        </w:rPr>
        <w:t xml:space="preserve"> Sánchez-Íñigo</w:t>
      </w:r>
      <w:r w:rsidR="00CA7DD6">
        <w:rPr>
          <w:rFonts w:ascii="Times New Roman" w:hAnsi="Times New Roman" w:cs="Times New Roman"/>
          <w:bCs/>
          <w:vertAlign w:val="superscript"/>
          <w:lang w:val="es-ES"/>
        </w:rPr>
        <w:t>1</w:t>
      </w:r>
      <w:r w:rsidRPr="00702832">
        <w:rPr>
          <w:rFonts w:ascii="Times New Roman" w:hAnsi="Times New Roman" w:cs="Times New Roman"/>
          <w:lang w:val="es-ES"/>
        </w:rPr>
        <w:t>, A</w:t>
      </w:r>
      <w:r>
        <w:rPr>
          <w:rFonts w:ascii="Times New Roman" w:hAnsi="Times New Roman" w:cs="Times New Roman"/>
          <w:lang w:val="es-ES"/>
        </w:rPr>
        <w:t>.</w:t>
      </w:r>
      <w:r w:rsidRPr="00702832">
        <w:rPr>
          <w:rFonts w:ascii="Times New Roman" w:hAnsi="Times New Roman" w:cs="Times New Roman"/>
          <w:lang w:val="es-ES"/>
        </w:rPr>
        <w:t xml:space="preserve"> Fernández-Montero</w:t>
      </w:r>
      <w:r>
        <w:rPr>
          <w:rFonts w:ascii="Times New Roman" w:hAnsi="Times New Roman" w:cs="Times New Roman"/>
          <w:bCs/>
          <w:vertAlign w:val="superscript"/>
          <w:lang w:val="es-ES"/>
        </w:rPr>
        <w:t>3</w:t>
      </w:r>
      <w:proofErr w:type="gramStart"/>
      <w:r>
        <w:rPr>
          <w:rFonts w:ascii="Times New Roman" w:hAnsi="Times New Roman" w:cs="Times New Roman"/>
          <w:bCs/>
          <w:vertAlign w:val="superscript"/>
          <w:lang w:val="es-ES"/>
        </w:rPr>
        <w:t>,4</w:t>
      </w:r>
      <w:proofErr w:type="gramEnd"/>
      <w:r w:rsidRPr="00702832">
        <w:rPr>
          <w:rFonts w:ascii="Times New Roman" w:hAnsi="Times New Roman" w:cs="Times New Roman"/>
          <w:lang w:val="es-ES"/>
        </w:rPr>
        <w:t xml:space="preserve">, </w:t>
      </w:r>
    </w:p>
    <w:p w:rsidR="002B64DF" w:rsidRPr="00702832" w:rsidRDefault="001F1DF3" w:rsidP="001F1DF3">
      <w:pPr>
        <w:rPr>
          <w:rFonts w:ascii="Times New Roman" w:hAnsi="Times New Roman" w:cs="Times New Roman"/>
          <w:lang w:val="es-ES"/>
        </w:rPr>
      </w:pPr>
      <w:r w:rsidRPr="00702832">
        <w:rPr>
          <w:rFonts w:ascii="Times New Roman" w:hAnsi="Times New Roman" w:cs="Times New Roman"/>
          <w:lang w:val="es-ES"/>
        </w:rPr>
        <w:t>J</w:t>
      </w:r>
      <w:r>
        <w:rPr>
          <w:rFonts w:ascii="Times New Roman" w:hAnsi="Times New Roman" w:cs="Times New Roman"/>
          <w:lang w:val="es-ES"/>
        </w:rPr>
        <w:t>.</w:t>
      </w:r>
      <w:r w:rsidRPr="00702832">
        <w:rPr>
          <w:rFonts w:ascii="Times New Roman" w:hAnsi="Times New Roman" w:cs="Times New Roman"/>
          <w:lang w:val="es-ES"/>
        </w:rPr>
        <w:t xml:space="preserve"> Pastrana-Delgado</w:t>
      </w:r>
      <w:r w:rsidR="00CA7DD6">
        <w:rPr>
          <w:rFonts w:ascii="Times New Roman" w:hAnsi="Times New Roman" w:cs="Times New Roman"/>
          <w:bCs/>
          <w:vertAlign w:val="superscript"/>
          <w:lang w:val="es-ES"/>
        </w:rPr>
        <w:t>3</w:t>
      </w:r>
      <w:proofErr w:type="gramStart"/>
      <w:r>
        <w:rPr>
          <w:rFonts w:ascii="Times New Roman" w:hAnsi="Times New Roman" w:cs="Times New Roman"/>
          <w:bCs/>
          <w:vertAlign w:val="superscript"/>
          <w:lang w:val="es-ES"/>
        </w:rPr>
        <w:t>,</w:t>
      </w:r>
      <w:r w:rsidR="00CA7DD6">
        <w:rPr>
          <w:rFonts w:ascii="Times New Roman" w:hAnsi="Times New Roman" w:cs="Times New Roman"/>
          <w:bCs/>
          <w:vertAlign w:val="superscript"/>
          <w:lang w:val="es-ES"/>
        </w:rPr>
        <w:t>4</w:t>
      </w:r>
      <w:proofErr w:type="gramEnd"/>
      <w:r w:rsidRPr="00702832">
        <w:rPr>
          <w:rFonts w:ascii="Times New Roman" w:hAnsi="Times New Roman" w:cs="Times New Roman"/>
          <w:lang w:val="es-ES"/>
        </w:rPr>
        <w:t>, J. Alfredo Martínez</w:t>
      </w:r>
      <w:r w:rsidR="00CA7DD6">
        <w:rPr>
          <w:rFonts w:ascii="Times New Roman" w:hAnsi="Times New Roman" w:cs="Times New Roman"/>
          <w:bCs/>
          <w:vertAlign w:val="superscript"/>
          <w:lang w:val="es-ES"/>
        </w:rPr>
        <w:t>4,5</w:t>
      </w:r>
      <w:r>
        <w:rPr>
          <w:rFonts w:ascii="Times New Roman" w:hAnsi="Times New Roman" w:cs="Times New Roman"/>
          <w:bCs/>
          <w:vertAlign w:val="superscript"/>
          <w:lang w:val="es-ES"/>
        </w:rPr>
        <w:t>,</w:t>
      </w:r>
      <w:r w:rsidR="00CA7DD6">
        <w:rPr>
          <w:rFonts w:ascii="Times New Roman" w:hAnsi="Times New Roman" w:cs="Times New Roman"/>
          <w:bCs/>
          <w:vertAlign w:val="superscript"/>
          <w:lang w:val="es-ES"/>
        </w:rPr>
        <w:t>6</w:t>
      </w:r>
    </w:p>
    <w:p w:rsidR="002B64DF" w:rsidRPr="001F1DF3" w:rsidRDefault="001F1DF3" w:rsidP="001F1DF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F1DF3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1</w:t>
      </w:r>
      <w:r w:rsidR="002B64DF" w:rsidRPr="001F1DF3">
        <w:rPr>
          <w:rFonts w:ascii="Times New Roman" w:hAnsi="Times New Roman" w:cs="Times New Roman"/>
          <w:sz w:val="20"/>
          <w:szCs w:val="20"/>
          <w:lang w:val="en-GB"/>
        </w:rPr>
        <w:t xml:space="preserve"> Garcia-</w:t>
      </w:r>
      <w:proofErr w:type="spellStart"/>
      <w:r w:rsidR="002B64DF" w:rsidRPr="001F1DF3">
        <w:rPr>
          <w:rFonts w:ascii="Times New Roman" w:hAnsi="Times New Roman" w:cs="Times New Roman"/>
          <w:sz w:val="20"/>
          <w:szCs w:val="20"/>
          <w:lang w:val="en-GB"/>
        </w:rPr>
        <w:t>Orcoyen</w:t>
      </w:r>
      <w:proofErr w:type="spellEnd"/>
      <w:r w:rsidR="002B64DF" w:rsidRPr="001F1DF3">
        <w:rPr>
          <w:rFonts w:ascii="Times New Roman" w:hAnsi="Times New Roman" w:cs="Times New Roman"/>
          <w:sz w:val="20"/>
          <w:szCs w:val="20"/>
          <w:lang w:val="en-GB"/>
        </w:rPr>
        <w:t xml:space="preserve"> Hospital, Navarra Health Service - </w:t>
      </w:r>
      <w:proofErr w:type="spellStart"/>
      <w:r w:rsidR="002B64DF" w:rsidRPr="001F1DF3">
        <w:rPr>
          <w:rFonts w:ascii="Times New Roman" w:hAnsi="Times New Roman" w:cs="Times New Roman"/>
          <w:sz w:val="20"/>
          <w:szCs w:val="20"/>
          <w:lang w:val="en-GB"/>
        </w:rPr>
        <w:t>Osasunbidea</w:t>
      </w:r>
      <w:proofErr w:type="spellEnd"/>
      <w:r w:rsidR="002B64DF" w:rsidRPr="001F1DF3">
        <w:rPr>
          <w:rFonts w:ascii="Times New Roman" w:hAnsi="Times New Roman" w:cs="Times New Roman"/>
          <w:sz w:val="20"/>
          <w:szCs w:val="20"/>
          <w:lang w:val="en-GB"/>
        </w:rPr>
        <w:t>. Spain</w:t>
      </w:r>
    </w:p>
    <w:p w:rsidR="002B64DF" w:rsidRPr="001F1DF3" w:rsidRDefault="001F1DF3" w:rsidP="001F1DF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F1DF3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3</w:t>
      </w:r>
      <w:r w:rsidR="002B64DF" w:rsidRPr="001F1DF3">
        <w:rPr>
          <w:rFonts w:ascii="Times New Roman" w:hAnsi="Times New Roman" w:cs="Times New Roman"/>
          <w:sz w:val="20"/>
          <w:szCs w:val="20"/>
          <w:lang w:val="en-GB"/>
        </w:rPr>
        <w:t xml:space="preserve"> University of Navarra</w:t>
      </w:r>
      <w:r w:rsidR="00CA7DD6">
        <w:rPr>
          <w:rFonts w:ascii="Times New Roman" w:hAnsi="Times New Roman" w:cs="Times New Roman"/>
          <w:sz w:val="20"/>
          <w:szCs w:val="20"/>
          <w:lang w:val="en-GB"/>
        </w:rPr>
        <w:t xml:space="preserve"> Clinic</w:t>
      </w:r>
      <w:r w:rsidR="002B64DF" w:rsidRPr="001F1DF3">
        <w:rPr>
          <w:rFonts w:ascii="Times New Roman" w:hAnsi="Times New Roman" w:cs="Times New Roman"/>
          <w:sz w:val="20"/>
          <w:szCs w:val="20"/>
          <w:lang w:val="en-GB"/>
        </w:rPr>
        <w:t>, Pamplona. Spain</w:t>
      </w:r>
    </w:p>
    <w:p w:rsidR="002B64DF" w:rsidRPr="001F1DF3" w:rsidRDefault="001F1DF3" w:rsidP="00702832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F1DF3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4</w:t>
      </w:r>
      <w:r w:rsidR="002B64DF" w:rsidRPr="001F1D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2B64DF" w:rsidRPr="001F1DF3">
        <w:rPr>
          <w:rFonts w:ascii="Times New Roman" w:hAnsi="Times New Roman" w:cs="Times New Roman"/>
          <w:sz w:val="20"/>
          <w:szCs w:val="20"/>
          <w:lang w:val="en-GB"/>
        </w:rPr>
        <w:t>IdiSNA</w:t>
      </w:r>
      <w:proofErr w:type="spellEnd"/>
      <w:r w:rsidR="002B64DF" w:rsidRPr="001F1DF3">
        <w:rPr>
          <w:rFonts w:ascii="Times New Roman" w:hAnsi="Times New Roman" w:cs="Times New Roman"/>
          <w:sz w:val="20"/>
          <w:szCs w:val="20"/>
          <w:lang w:val="en-GB"/>
        </w:rPr>
        <w:t xml:space="preserve"> - Health Research Institute of Navarra</w:t>
      </w:r>
    </w:p>
    <w:p w:rsidR="002B64DF" w:rsidRPr="001F1DF3" w:rsidRDefault="00CA7DD6" w:rsidP="001F1DF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5</w:t>
      </w:r>
      <w:r w:rsidR="002B64DF" w:rsidRPr="001F1DF3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="002B64DF" w:rsidRPr="001F1DF3">
        <w:rPr>
          <w:rFonts w:ascii="Times New Roman" w:hAnsi="Times New Roman" w:cs="Times New Roman"/>
          <w:sz w:val="20"/>
          <w:szCs w:val="20"/>
          <w:lang w:val="en-GB"/>
        </w:rPr>
        <w:t xml:space="preserve">University of Navarra, </w:t>
      </w:r>
      <w:r w:rsidR="002B64DF" w:rsidRPr="001F1DF3">
        <w:rPr>
          <w:rFonts w:ascii="Times New Roman" w:hAnsi="Times New Roman" w:cs="Times New Roman"/>
          <w:sz w:val="20"/>
          <w:szCs w:val="20"/>
          <w:lang w:val="en-US"/>
        </w:rPr>
        <w:t>Pamplona. Spain</w:t>
      </w:r>
    </w:p>
    <w:p w:rsidR="002B64DF" w:rsidRPr="001F1DF3" w:rsidRDefault="00CA7DD6" w:rsidP="0070283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6</w:t>
      </w:r>
      <w:r w:rsidR="002B64DF" w:rsidRPr="001F1DF3">
        <w:rPr>
          <w:rFonts w:ascii="Times New Roman" w:hAnsi="Times New Roman" w:cs="Times New Roman"/>
          <w:sz w:val="20"/>
          <w:szCs w:val="20"/>
          <w:lang w:val="en-US"/>
        </w:rPr>
        <w:t xml:space="preserve"> Centre of Biomedical Research in Pathophysiology of Obesity and Nutrition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CIBERObn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), Carlos III</w:t>
      </w:r>
      <w:r w:rsidR="002B64DF" w:rsidRPr="001F1DF3">
        <w:rPr>
          <w:rFonts w:ascii="Times New Roman" w:hAnsi="Times New Roman" w:cs="Times New Roman"/>
          <w:sz w:val="20"/>
          <w:szCs w:val="20"/>
          <w:lang w:val="en-US"/>
        </w:rPr>
        <w:t xml:space="preserve">, Madrid. Spain </w:t>
      </w:r>
    </w:p>
    <w:p w:rsidR="00702832" w:rsidRPr="0099732A" w:rsidRDefault="00702832" w:rsidP="0070283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D7AE9" w:rsidRPr="0099732A" w:rsidRDefault="002B64DF" w:rsidP="001F1DF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9732A">
        <w:rPr>
          <w:rFonts w:ascii="Times New Roman" w:hAnsi="Times New Roman" w:cs="Times New Roman"/>
          <w:i/>
          <w:iCs/>
          <w:sz w:val="22"/>
          <w:szCs w:val="22"/>
          <w:lang w:val="en-US"/>
        </w:rPr>
        <w:t>Objectives</w:t>
      </w:r>
      <w:r w:rsidR="001F1DF3" w:rsidRPr="0099732A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7E2BFC" w:rsidRPr="0099732A">
        <w:rPr>
          <w:rFonts w:ascii="Times New Roman" w:hAnsi="Times New Roman" w:cs="Times New Roman"/>
          <w:sz w:val="22"/>
          <w:szCs w:val="22"/>
          <w:lang w:val="en-GB"/>
        </w:rPr>
        <w:t>To assess t</w:t>
      </w:r>
      <w:r w:rsidR="009D7AE9" w:rsidRPr="0099732A">
        <w:rPr>
          <w:rFonts w:ascii="Times New Roman" w:hAnsi="Times New Roman" w:cs="Times New Roman"/>
          <w:sz w:val="22"/>
          <w:szCs w:val="22"/>
          <w:lang w:val="en-GB"/>
        </w:rPr>
        <w:t>he risk of cardiovascular disease</w:t>
      </w:r>
      <w:r w:rsidR="000E26FB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(CVD)</w:t>
      </w:r>
      <w:r w:rsidR="009D7AE9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according to the metabolic health and obesity stat</w:t>
      </w:r>
      <w:r w:rsidR="00512045" w:rsidRPr="0099732A">
        <w:rPr>
          <w:rFonts w:ascii="Times New Roman" w:hAnsi="Times New Roman" w:cs="Times New Roman"/>
          <w:sz w:val="22"/>
          <w:szCs w:val="22"/>
          <w:lang w:val="en-GB"/>
        </w:rPr>
        <w:t>es</w:t>
      </w:r>
      <w:r w:rsidR="009D7AE9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512045" w:rsidRPr="0099732A">
        <w:rPr>
          <w:rFonts w:ascii="Times New Roman" w:hAnsi="Times New Roman"/>
          <w:sz w:val="22"/>
          <w:szCs w:val="22"/>
          <w:lang w:val="en-GB"/>
        </w:rPr>
        <w:t xml:space="preserve">The </w:t>
      </w:r>
      <w:proofErr w:type="spellStart"/>
      <w:r w:rsidR="009B0054" w:rsidRPr="0099732A">
        <w:rPr>
          <w:rFonts w:ascii="Times New Roman" w:hAnsi="Times New Roman"/>
          <w:sz w:val="22"/>
          <w:szCs w:val="22"/>
          <w:lang w:val="en-GB"/>
        </w:rPr>
        <w:t>TyG</w:t>
      </w:r>
      <w:proofErr w:type="spellEnd"/>
      <w:r w:rsidR="009B0054" w:rsidRPr="0099732A">
        <w:rPr>
          <w:rFonts w:ascii="Times New Roman" w:hAnsi="Times New Roman"/>
          <w:sz w:val="22"/>
          <w:szCs w:val="22"/>
          <w:lang w:val="en-GB"/>
        </w:rPr>
        <w:t xml:space="preserve"> index </w:t>
      </w:r>
      <w:r w:rsidR="00512045" w:rsidRPr="0099732A">
        <w:rPr>
          <w:rFonts w:ascii="Times New Roman" w:hAnsi="Times New Roman" w:cs="Times New Roman"/>
          <w:sz w:val="22"/>
          <w:szCs w:val="22"/>
          <w:lang w:val="en-GB"/>
        </w:rPr>
        <w:t>and the ATP</w:t>
      </w:r>
      <w:r w:rsidR="007E2BFC" w:rsidRPr="0099732A">
        <w:rPr>
          <w:rFonts w:ascii="Times New Roman" w:hAnsi="Times New Roman" w:cs="Times New Roman"/>
          <w:sz w:val="22"/>
          <w:szCs w:val="22"/>
          <w:lang w:val="en-GB"/>
        </w:rPr>
        <w:t>-III</w:t>
      </w:r>
      <w:r w:rsidR="00512045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components of the metabolic syndrome were used to define these states. </w:t>
      </w:r>
    </w:p>
    <w:p w:rsidR="000009C7" w:rsidRPr="0099732A" w:rsidRDefault="002B64DF" w:rsidP="001F1DF3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9732A">
        <w:rPr>
          <w:rFonts w:ascii="Times New Roman" w:hAnsi="Times New Roman" w:cs="Times New Roman"/>
          <w:i/>
          <w:sz w:val="22"/>
          <w:szCs w:val="22"/>
          <w:lang w:val="en-GB"/>
        </w:rPr>
        <w:t>Background</w:t>
      </w:r>
      <w:r w:rsidR="001F1DF3" w:rsidRPr="0099732A">
        <w:rPr>
          <w:rFonts w:ascii="Times New Roman" w:hAnsi="Times New Roman" w:cs="Times New Roman"/>
          <w:i/>
          <w:sz w:val="22"/>
          <w:szCs w:val="22"/>
          <w:lang w:val="en-GB"/>
        </w:rPr>
        <w:t>:</w:t>
      </w:r>
      <w:r w:rsidR="001F1DF3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009C7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Mortality from </w:t>
      </w:r>
      <w:r w:rsidR="000E26FB" w:rsidRPr="0099732A">
        <w:rPr>
          <w:rFonts w:ascii="Times New Roman" w:hAnsi="Times New Roman" w:cs="Times New Roman"/>
          <w:sz w:val="22"/>
          <w:szCs w:val="22"/>
          <w:lang w:val="en-GB"/>
        </w:rPr>
        <w:t>CVD</w:t>
      </w:r>
      <w:r w:rsidR="000009C7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has decreased in recent decades, attributed to </w:t>
      </w:r>
      <w:r w:rsidR="009B0054" w:rsidRPr="0099732A">
        <w:rPr>
          <w:rFonts w:ascii="Times New Roman" w:hAnsi="Times New Roman" w:cs="Times New Roman"/>
          <w:sz w:val="22"/>
          <w:szCs w:val="22"/>
          <w:lang w:val="en-GB"/>
        </w:rPr>
        <w:t>reductions in</w:t>
      </w:r>
      <w:r w:rsidR="000009C7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cholesterol</w:t>
      </w:r>
      <w:r w:rsidR="009B0054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levels</w:t>
      </w:r>
      <w:r w:rsidR="000009C7" w:rsidRPr="0099732A">
        <w:rPr>
          <w:rFonts w:ascii="Times New Roman" w:hAnsi="Times New Roman" w:cs="Times New Roman"/>
          <w:sz w:val="22"/>
          <w:szCs w:val="22"/>
          <w:lang w:val="en-GB"/>
        </w:rPr>
        <w:t>, blood pressure or smoking prevalence</w:t>
      </w:r>
      <w:r w:rsidR="00702832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. However, these decreases were offset by </w:t>
      </w:r>
      <w:r w:rsidR="009B0054" w:rsidRPr="0099732A">
        <w:rPr>
          <w:rFonts w:ascii="Times New Roman" w:hAnsi="Times New Roman" w:cs="Times New Roman"/>
          <w:sz w:val="22"/>
          <w:szCs w:val="22"/>
          <w:lang w:val="en-GB"/>
        </w:rPr>
        <w:t>raises</w:t>
      </w:r>
      <w:r w:rsidR="00702832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in </w:t>
      </w:r>
      <w:r w:rsidR="007E2BFC" w:rsidRPr="0099732A">
        <w:rPr>
          <w:rFonts w:ascii="Times New Roman" w:hAnsi="Times New Roman" w:cs="Times New Roman"/>
          <w:sz w:val="22"/>
          <w:szCs w:val="22"/>
          <w:lang w:val="en-GB"/>
        </w:rPr>
        <w:t>obesity</w:t>
      </w:r>
      <w:r w:rsidR="00702832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and diabetes. </w:t>
      </w:r>
      <w:r w:rsidR="007E2BFC" w:rsidRPr="0099732A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702832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ome obese individuals </w:t>
      </w:r>
      <w:r w:rsidR="009B0054" w:rsidRPr="0099732A">
        <w:rPr>
          <w:rFonts w:ascii="Times New Roman" w:hAnsi="Times New Roman" w:cs="Times New Roman"/>
          <w:sz w:val="22"/>
          <w:szCs w:val="22"/>
          <w:lang w:val="en-GB"/>
        </w:rPr>
        <w:t>may</w:t>
      </w:r>
      <w:r w:rsidR="00702832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be at low risk of metabolic related complications</w:t>
      </w:r>
      <w:r w:rsidR="009B0054" w:rsidRPr="0099732A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702832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while normal-weight individuals </w:t>
      </w:r>
      <w:r w:rsidR="009B0054" w:rsidRPr="0099732A">
        <w:rPr>
          <w:rFonts w:ascii="Times New Roman" w:hAnsi="Times New Roman" w:cs="Times New Roman"/>
          <w:sz w:val="22"/>
          <w:szCs w:val="22"/>
          <w:lang w:val="en-GB"/>
        </w:rPr>
        <w:t>are</w:t>
      </w:r>
      <w:r w:rsidR="00702832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not "healthy".</w:t>
      </w:r>
    </w:p>
    <w:p w:rsidR="00512045" w:rsidRPr="0099732A" w:rsidRDefault="002B64DF" w:rsidP="001F1DF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9732A">
        <w:rPr>
          <w:rFonts w:ascii="Times New Roman" w:hAnsi="Times New Roman" w:cs="Times New Roman"/>
          <w:i/>
          <w:iCs/>
          <w:sz w:val="22"/>
          <w:szCs w:val="22"/>
          <w:lang w:val="en-US"/>
        </w:rPr>
        <w:t>Methods and Results</w:t>
      </w:r>
      <w:r w:rsidR="001F1DF3" w:rsidRPr="0099732A">
        <w:rPr>
          <w:rFonts w:ascii="Times New Roman" w:hAnsi="Times New Roman" w:cs="Times New Roman"/>
          <w:sz w:val="22"/>
          <w:szCs w:val="22"/>
          <w:lang w:val="en-US"/>
        </w:rPr>
        <w:t xml:space="preserve">:  </w:t>
      </w:r>
      <w:r w:rsidR="004F4D62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A total of </w:t>
      </w:r>
      <w:r w:rsidR="006C4A39" w:rsidRPr="0099732A">
        <w:rPr>
          <w:rFonts w:ascii="Times New Roman" w:hAnsi="Times New Roman" w:cs="Times New Roman"/>
          <w:sz w:val="22"/>
          <w:szCs w:val="22"/>
          <w:lang w:val="en-GB"/>
        </w:rPr>
        <w:t>5003</w:t>
      </w:r>
      <w:r w:rsidR="004F4D62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patients</w:t>
      </w:r>
      <w:r w:rsidR="006C4A39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free of </w:t>
      </w:r>
      <w:r w:rsidR="009B0054" w:rsidRPr="0099732A">
        <w:rPr>
          <w:rFonts w:ascii="Times New Roman" w:hAnsi="Times New Roman" w:cs="Times New Roman"/>
          <w:sz w:val="22"/>
          <w:szCs w:val="22"/>
          <w:lang w:val="en-GB"/>
        </w:rPr>
        <w:t>CVD</w:t>
      </w:r>
      <w:r w:rsidR="006C4A39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participants </w:t>
      </w:r>
      <w:r w:rsidR="004F4D62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were followed up during </w:t>
      </w:r>
      <w:r w:rsidR="007E2BFC" w:rsidRPr="0099732A">
        <w:rPr>
          <w:rFonts w:ascii="Times New Roman" w:hAnsi="Times New Roman"/>
          <w:sz w:val="22"/>
          <w:szCs w:val="22"/>
          <w:lang w:val="en-GB"/>
        </w:rPr>
        <w:t xml:space="preserve">9.1 </w:t>
      </w:r>
      <w:r w:rsidR="009B0054" w:rsidRPr="0099732A">
        <w:rPr>
          <w:rFonts w:ascii="Times New Roman" w:hAnsi="Times New Roman"/>
          <w:sz w:val="22"/>
          <w:szCs w:val="22"/>
          <w:lang w:val="en-GB"/>
        </w:rPr>
        <w:t>±</w:t>
      </w:r>
      <w:r w:rsidR="007E2BFC" w:rsidRPr="0099732A">
        <w:rPr>
          <w:rFonts w:ascii="Times New Roman" w:hAnsi="Times New Roman"/>
          <w:sz w:val="22"/>
          <w:szCs w:val="22"/>
          <w:lang w:val="en-GB"/>
        </w:rPr>
        <w:t>4.3 years</w:t>
      </w:r>
      <w:r w:rsidR="004F4D62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512045" w:rsidRPr="0099732A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4F4D62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Cox proportional </w:t>
      </w:r>
      <w:r w:rsidR="00512045" w:rsidRPr="0099732A">
        <w:rPr>
          <w:rFonts w:ascii="Times New Roman" w:hAnsi="Times New Roman" w:cs="Times New Roman"/>
          <w:sz w:val="22"/>
          <w:szCs w:val="22"/>
          <w:lang w:val="en-GB"/>
        </w:rPr>
        <w:t>HR</w:t>
      </w:r>
      <w:r w:rsidR="004F4D62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12045" w:rsidRPr="0099732A">
        <w:rPr>
          <w:rFonts w:ascii="Times New Roman" w:hAnsi="Times New Roman" w:cs="Times New Roman"/>
          <w:sz w:val="22"/>
          <w:szCs w:val="22"/>
          <w:lang w:val="en-GB"/>
        </w:rPr>
        <w:t>was used</w:t>
      </w:r>
      <w:r w:rsidR="004F4D62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to</w:t>
      </w:r>
      <w:r w:rsidR="00512045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estimate the risk of incident </w:t>
      </w:r>
      <w:r w:rsidR="004F4D62" w:rsidRPr="0099732A">
        <w:rPr>
          <w:rFonts w:ascii="Times New Roman" w:hAnsi="Times New Roman" w:cs="Times New Roman"/>
          <w:sz w:val="22"/>
          <w:szCs w:val="22"/>
          <w:lang w:val="en-GB"/>
        </w:rPr>
        <w:t>CVD across</w:t>
      </w:r>
      <w:r w:rsidR="00512045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the metabolic health and obesity states.</w:t>
      </w:r>
    </w:p>
    <w:p w:rsidR="00186F36" w:rsidRPr="0099732A" w:rsidRDefault="00512045" w:rsidP="00512045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9732A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186F36" w:rsidRPr="0099732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HR </w:t>
      </w:r>
      <w:r w:rsidR="00D105A6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for </w:t>
      </w:r>
      <w:r w:rsidR="007E2BFC" w:rsidRPr="0099732A">
        <w:rPr>
          <w:rFonts w:ascii="Times New Roman" w:hAnsi="Times New Roman" w:cs="Times New Roman"/>
          <w:sz w:val="22"/>
          <w:szCs w:val="22"/>
          <w:lang w:val="en-GB"/>
        </w:rPr>
        <w:t>metabolically unhealthy non-obese</w:t>
      </w:r>
      <w:r w:rsidR="00D105A6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and </w:t>
      </w:r>
      <w:r w:rsidR="007E2BFC" w:rsidRPr="0099732A">
        <w:rPr>
          <w:rFonts w:ascii="Times New Roman" w:hAnsi="Times New Roman" w:cs="Times New Roman"/>
          <w:sz w:val="22"/>
          <w:szCs w:val="22"/>
          <w:lang w:val="en-GB"/>
        </w:rPr>
        <w:t>obese</w:t>
      </w:r>
      <w:r w:rsidR="00D105A6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w</w:t>
      </w:r>
      <w:r w:rsidR="007E2BFC" w:rsidRPr="0099732A">
        <w:rPr>
          <w:rFonts w:ascii="Times New Roman" w:hAnsi="Times New Roman" w:cs="Times New Roman"/>
          <w:sz w:val="22"/>
          <w:szCs w:val="22"/>
          <w:lang w:val="en-GB"/>
        </w:rPr>
        <w:t>as</w:t>
      </w:r>
      <w:r w:rsidR="00D105A6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1.49 (95% CI: 1.08-1.33) and 1.89 (95% CI: 1.24-2.89)</w:t>
      </w:r>
      <w:r w:rsidRPr="0099732A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D105A6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respectively</w:t>
      </w:r>
      <w:r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, according to the </w:t>
      </w:r>
      <w:proofErr w:type="spellStart"/>
      <w:r w:rsidRPr="0099732A">
        <w:rPr>
          <w:rFonts w:ascii="Times New Roman" w:hAnsi="Times New Roman" w:cs="Times New Roman"/>
          <w:sz w:val="22"/>
          <w:szCs w:val="22"/>
          <w:lang w:val="en-GB"/>
        </w:rPr>
        <w:t>TyG</w:t>
      </w:r>
      <w:proofErr w:type="spellEnd"/>
      <w:r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index criteria for metabolic health</w:t>
      </w:r>
      <w:r w:rsidR="00D105A6" w:rsidRPr="0099732A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When using the ATP-III criteria for classification, t</w:t>
      </w:r>
      <w:r w:rsidRPr="0099732A">
        <w:rPr>
          <w:rFonts w:ascii="Times New Roman" w:hAnsi="Times New Roman" w:cs="Times New Roman"/>
          <w:sz w:val="22"/>
          <w:szCs w:val="22"/>
          <w:lang w:val="en-US"/>
        </w:rPr>
        <w:t xml:space="preserve">he </w:t>
      </w:r>
      <w:r w:rsidRPr="0099732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HR </w:t>
      </w:r>
      <w:r w:rsidR="007E2BFC" w:rsidRPr="0099732A">
        <w:rPr>
          <w:rFonts w:ascii="Times New Roman" w:hAnsi="Times New Roman" w:cs="Times New Roman"/>
          <w:sz w:val="22"/>
          <w:szCs w:val="22"/>
          <w:lang w:val="en-GB"/>
        </w:rPr>
        <w:t>was</w:t>
      </w:r>
      <w:r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105A6" w:rsidRPr="0099732A">
        <w:rPr>
          <w:rFonts w:ascii="Times New Roman" w:hAnsi="Times New Roman" w:cs="Times New Roman"/>
          <w:sz w:val="22"/>
          <w:szCs w:val="22"/>
          <w:lang w:val="en-GB"/>
        </w:rPr>
        <w:t>1.38 (95% CI: 1.07-1.77</w:t>
      </w:r>
      <w:proofErr w:type="gramStart"/>
      <w:r w:rsidR="00186F36" w:rsidRPr="0099732A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D105A6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 and</w:t>
      </w:r>
      <w:proofErr w:type="gramEnd"/>
      <w:r w:rsidR="00D105A6" w:rsidRPr="0099732A">
        <w:rPr>
          <w:rFonts w:ascii="Times New Roman" w:hAnsi="Times New Roman" w:cs="Times New Roman"/>
          <w:sz w:val="22"/>
          <w:szCs w:val="22"/>
          <w:lang w:val="en-GB"/>
        </w:rPr>
        <w:t xml:space="preserve"> 1.40(95% CI: 0.94-2.10)</w:t>
      </w:r>
      <w:r w:rsidR="00186F36" w:rsidRPr="0099732A">
        <w:rPr>
          <w:rFonts w:ascii="Times New Roman" w:hAnsi="Times New Roman" w:cs="Times New Roman"/>
          <w:sz w:val="22"/>
          <w:szCs w:val="22"/>
          <w:lang w:val="en-GB"/>
        </w:rPr>
        <w:t>, respectively</w:t>
      </w:r>
      <w:r w:rsidRPr="0099732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33041C" w:rsidRPr="0099732A" w:rsidRDefault="002B64DF" w:rsidP="001F1DF3">
      <w:pPr>
        <w:rPr>
          <w:rFonts w:ascii="Times New Roman" w:hAnsi="Times New Roman"/>
          <w:sz w:val="22"/>
          <w:szCs w:val="22"/>
          <w:lang w:val="en-GB"/>
        </w:rPr>
      </w:pPr>
      <w:r w:rsidRPr="0099732A">
        <w:rPr>
          <w:rFonts w:ascii="Times New Roman" w:hAnsi="Times New Roman" w:cs="Times New Roman"/>
          <w:i/>
          <w:iCs/>
          <w:sz w:val="22"/>
          <w:szCs w:val="22"/>
          <w:lang w:val="en-US"/>
        </w:rPr>
        <w:t>Conclusions</w:t>
      </w:r>
      <w:r w:rsidR="001F1DF3" w:rsidRPr="0099732A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FC123A" w:rsidRPr="0099732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Metabolically unhealthy individuals exhibited a greater risk of CVD than </w:t>
      </w:r>
      <w:r w:rsidR="000E26FB" w:rsidRPr="0099732A">
        <w:rPr>
          <w:rFonts w:ascii="Times New Roman" w:eastAsia="Times New Roman" w:hAnsi="Times New Roman" w:cs="Times New Roman"/>
          <w:sz w:val="22"/>
          <w:szCs w:val="22"/>
          <w:lang w:val="en-US"/>
        </w:rPr>
        <w:t>metabolically health</w:t>
      </w:r>
      <w:r w:rsidR="00512045" w:rsidRPr="0099732A">
        <w:rPr>
          <w:rFonts w:ascii="Times New Roman" w:eastAsia="Times New Roman" w:hAnsi="Times New Roman" w:cs="Times New Roman"/>
          <w:sz w:val="22"/>
          <w:szCs w:val="22"/>
          <w:lang w:val="en-US"/>
        </w:rPr>
        <w:t>y obese</w:t>
      </w:r>
      <w:r w:rsidR="007E2BFC" w:rsidRPr="0099732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and non-obese</w:t>
      </w:r>
      <w:r w:rsidR="00512045" w:rsidRPr="0099732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. </w:t>
      </w:r>
      <w:r w:rsidR="00512045" w:rsidRPr="0099732A">
        <w:rPr>
          <w:rFonts w:ascii="Times New Roman" w:hAnsi="Times New Roman"/>
          <w:sz w:val="22"/>
          <w:szCs w:val="22"/>
          <w:lang w:val="en-GB"/>
        </w:rPr>
        <w:t xml:space="preserve">The </w:t>
      </w:r>
      <w:proofErr w:type="spellStart"/>
      <w:r w:rsidR="00512045" w:rsidRPr="0099732A">
        <w:rPr>
          <w:rFonts w:ascii="Times New Roman" w:hAnsi="Times New Roman"/>
          <w:sz w:val="22"/>
          <w:szCs w:val="22"/>
          <w:lang w:val="en-GB"/>
        </w:rPr>
        <w:t>TyG</w:t>
      </w:r>
      <w:proofErr w:type="spellEnd"/>
      <w:r w:rsidR="00512045" w:rsidRPr="0099732A">
        <w:rPr>
          <w:rFonts w:ascii="Times New Roman" w:hAnsi="Times New Roman"/>
          <w:sz w:val="22"/>
          <w:szCs w:val="22"/>
          <w:lang w:val="en-GB"/>
        </w:rPr>
        <w:t xml:space="preserve"> index </w:t>
      </w:r>
      <w:r w:rsidR="007E2BFC" w:rsidRPr="0099732A">
        <w:rPr>
          <w:rFonts w:ascii="Times New Roman" w:hAnsi="Times New Roman"/>
          <w:sz w:val="22"/>
          <w:szCs w:val="22"/>
          <w:lang w:val="en-GB"/>
        </w:rPr>
        <w:t>may be</w:t>
      </w:r>
      <w:r w:rsidR="00512045" w:rsidRPr="0099732A">
        <w:rPr>
          <w:rFonts w:ascii="Times New Roman" w:hAnsi="Times New Roman"/>
          <w:sz w:val="22"/>
          <w:szCs w:val="22"/>
          <w:lang w:val="en-GB"/>
        </w:rPr>
        <w:t xml:space="preserve"> a useful candidate marker </w:t>
      </w:r>
      <w:r w:rsidR="007E2BFC" w:rsidRPr="0099732A">
        <w:rPr>
          <w:rFonts w:ascii="Times New Roman" w:hAnsi="Times New Roman"/>
          <w:sz w:val="22"/>
          <w:szCs w:val="22"/>
          <w:lang w:val="en-GB"/>
        </w:rPr>
        <w:t>to define</w:t>
      </w:r>
      <w:r w:rsidR="00512045" w:rsidRPr="0099732A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7E2BFC" w:rsidRPr="0099732A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12045" w:rsidRPr="0099732A">
        <w:rPr>
          <w:rFonts w:ascii="Times New Roman" w:hAnsi="Times New Roman"/>
          <w:sz w:val="22"/>
          <w:szCs w:val="22"/>
          <w:lang w:val="en-GB"/>
        </w:rPr>
        <w:t>metabolic health</w:t>
      </w:r>
      <w:r w:rsidR="007E2BFC" w:rsidRPr="0099732A">
        <w:rPr>
          <w:rFonts w:ascii="Times New Roman" w:hAnsi="Times New Roman"/>
          <w:sz w:val="22"/>
          <w:szCs w:val="22"/>
          <w:lang w:val="en-GB"/>
        </w:rPr>
        <w:t xml:space="preserve"> status. </w:t>
      </w:r>
    </w:p>
    <w:p w:rsidR="0033041C" w:rsidRPr="00C533F3" w:rsidRDefault="0033041C" w:rsidP="001F1DF3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533F3">
        <w:rPr>
          <w:rFonts w:ascii="Times New Roman" w:hAnsi="Times New Roman" w:cs="Times New Roman"/>
          <w:b/>
          <w:i/>
          <w:sz w:val="20"/>
          <w:szCs w:val="20"/>
          <w:lang w:val="en-GB"/>
        </w:rPr>
        <w:t>Table 1</w:t>
      </w:r>
      <w:r w:rsidRPr="00C533F3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Pr="00C533F3">
        <w:rPr>
          <w:rFonts w:ascii="Times New Roman" w:hAnsi="Times New Roman" w:cs="Times New Roman"/>
          <w:sz w:val="20"/>
          <w:szCs w:val="20"/>
          <w:lang w:val="en-GB"/>
        </w:rPr>
        <w:t xml:space="preserve"> Risk of incident CVD according to the metabolic health and obesity states</w:t>
      </w:r>
    </w:p>
    <w:tbl>
      <w:tblPr>
        <w:tblStyle w:val="TableGrid"/>
        <w:tblpPr w:leftFromText="141" w:rightFromText="141" w:vertAnchor="text" w:horzAnchor="page" w:tblpXSpec="center" w:tblpY="166"/>
        <w:tblW w:w="85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2A0" w:firstRow="1" w:lastRow="0" w:firstColumn="1" w:lastColumn="0" w:noHBand="1" w:noVBand="0"/>
      </w:tblPr>
      <w:tblGrid>
        <w:gridCol w:w="1843"/>
        <w:gridCol w:w="992"/>
        <w:gridCol w:w="1370"/>
        <w:gridCol w:w="1370"/>
        <w:gridCol w:w="1513"/>
        <w:gridCol w:w="1480"/>
      </w:tblGrid>
      <w:tr w:rsidR="0099732A" w:rsidRPr="0099732A" w:rsidTr="0099732A">
        <w:trPr>
          <w:trHeight w:val="262"/>
          <w:jc w:val="center"/>
        </w:trPr>
        <w:tc>
          <w:tcPr>
            <w:tcW w:w="1843" w:type="dxa"/>
            <w:noWrap/>
          </w:tcPr>
          <w:p w:rsidR="0099732A" w:rsidRPr="0099732A" w:rsidRDefault="0099732A" w:rsidP="0099732A">
            <w:pPr>
              <w:ind w:left="3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5245" w:type="dxa"/>
            <w:gridSpan w:val="4"/>
            <w:tcBorders>
              <w:top w:val="single" w:sz="18" w:space="0" w:color="auto"/>
              <w:bottom w:val="single" w:sz="8" w:space="0" w:color="auto"/>
            </w:tcBorders>
            <w:noWrap/>
          </w:tcPr>
          <w:p w:rsidR="0099732A" w:rsidRPr="0099732A" w:rsidRDefault="0099732A" w:rsidP="003304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Metabolic health and obesity states based on </w:t>
            </w:r>
            <w:proofErr w:type="spellStart"/>
            <w:r w:rsidRPr="009973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TyG</w:t>
            </w:r>
            <w:proofErr w:type="spellEnd"/>
            <w:r w:rsidRPr="009973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index</w:t>
            </w:r>
            <w:r w:rsidRPr="0099732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80" w:type="dxa"/>
            <w:tcBorders>
              <w:top w:val="single" w:sz="18" w:space="0" w:color="auto"/>
              <w:bottom w:val="single" w:sz="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99732A" w:rsidRPr="0099732A" w:rsidTr="0099732A">
        <w:trPr>
          <w:trHeight w:val="262"/>
          <w:jc w:val="center"/>
        </w:trPr>
        <w:tc>
          <w:tcPr>
            <w:tcW w:w="1843" w:type="dxa"/>
            <w:tcBorders>
              <w:bottom w:val="single" w:sz="18" w:space="0" w:color="auto"/>
            </w:tcBorders>
            <w:noWrap/>
          </w:tcPr>
          <w:p w:rsidR="0099732A" w:rsidRPr="0099732A" w:rsidRDefault="0099732A" w:rsidP="0099732A">
            <w:pPr>
              <w:ind w:left="176" w:hanging="17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tabs>
                <w:tab w:val="center" w:pos="1097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b/>
                <w:sz w:val="18"/>
                <w:szCs w:val="18"/>
              </w:rPr>
              <w:t>MHNO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b/>
                <w:sz w:val="18"/>
                <w:szCs w:val="18"/>
              </w:rPr>
              <w:t>MHO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b/>
                <w:sz w:val="18"/>
                <w:szCs w:val="18"/>
              </w:rPr>
              <w:t>MUNO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b/>
                <w:sz w:val="18"/>
                <w:szCs w:val="18"/>
              </w:rPr>
              <w:t>MUO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18" w:space="0" w:color="auto"/>
            </w:tcBorders>
            <w:noWrap/>
          </w:tcPr>
          <w:p w:rsidR="0099732A" w:rsidRPr="0099732A" w:rsidRDefault="0099732A" w:rsidP="0099732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9973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for interaction</w:t>
            </w:r>
          </w:p>
        </w:tc>
      </w:tr>
      <w:tr w:rsidR="0099732A" w:rsidRPr="0099732A" w:rsidTr="0099732A">
        <w:trPr>
          <w:trHeight w:val="262"/>
          <w:jc w:val="center"/>
        </w:trPr>
        <w:tc>
          <w:tcPr>
            <w:tcW w:w="1843" w:type="dxa"/>
            <w:tcBorders>
              <w:top w:val="single" w:sz="18" w:space="0" w:color="auto"/>
            </w:tcBorders>
            <w:noWrap/>
          </w:tcPr>
          <w:p w:rsidR="0099732A" w:rsidRPr="0099732A" w:rsidRDefault="0099732A" w:rsidP="003304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3289</w:t>
            </w:r>
          </w:p>
        </w:tc>
        <w:tc>
          <w:tcPr>
            <w:tcW w:w="1370" w:type="dxa"/>
            <w:tcBorders>
              <w:top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673</w:t>
            </w:r>
          </w:p>
        </w:tc>
        <w:tc>
          <w:tcPr>
            <w:tcW w:w="1370" w:type="dxa"/>
            <w:tcBorders>
              <w:top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632</w:t>
            </w:r>
          </w:p>
        </w:tc>
        <w:tc>
          <w:tcPr>
            <w:tcW w:w="1513" w:type="dxa"/>
            <w:tcBorders>
              <w:top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409</w:t>
            </w:r>
          </w:p>
        </w:tc>
        <w:tc>
          <w:tcPr>
            <w:tcW w:w="1480" w:type="dxa"/>
            <w:tcBorders>
              <w:top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99732A" w:rsidRPr="0099732A" w:rsidTr="0099732A">
        <w:trPr>
          <w:trHeight w:val="262"/>
          <w:jc w:val="center"/>
        </w:trPr>
        <w:tc>
          <w:tcPr>
            <w:tcW w:w="1843" w:type="dxa"/>
            <w:noWrap/>
          </w:tcPr>
          <w:p w:rsidR="0099732A" w:rsidRPr="0099732A" w:rsidRDefault="0099732A" w:rsidP="003304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Number of incident </w:t>
            </w:r>
          </w:p>
          <w:p w:rsidR="0099732A" w:rsidRPr="0099732A" w:rsidRDefault="0099732A" w:rsidP="003304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cases of CVD</w:t>
            </w:r>
          </w:p>
        </w:tc>
        <w:tc>
          <w:tcPr>
            <w:tcW w:w="992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137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37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13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8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732A" w:rsidRPr="0099732A" w:rsidTr="0099732A">
        <w:trPr>
          <w:trHeight w:val="262"/>
          <w:jc w:val="center"/>
        </w:trPr>
        <w:tc>
          <w:tcPr>
            <w:tcW w:w="1843" w:type="dxa"/>
            <w:noWrap/>
          </w:tcPr>
          <w:p w:rsidR="0099732A" w:rsidRPr="0099732A" w:rsidRDefault="0099732A" w:rsidP="003304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Incidence</w:t>
            </w:r>
            <w:proofErr w:type="spellEnd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992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137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7.43</w:t>
            </w:r>
          </w:p>
        </w:tc>
        <w:tc>
          <w:tcPr>
            <w:tcW w:w="137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16.14</w:t>
            </w:r>
          </w:p>
        </w:tc>
        <w:tc>
          <w:tcPr>
            <w:tcW w:w="1513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17.36</w:t>
            </w:r>
          </w:p>
        </w:tc>
        <w:tc>
          <w:tcPr>
            <w:tcW w:w="148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732A" w:rsidRPr="0099732A" w:rsidTr="0099732A">
        <w:trPr>
          <w:trHeight w:val="262"/>
          <w:jc w:val="center"/>
        </w:trPr>
        <w:tc>
          <w:tcPr>
            <w:tcW w:w="1843" w:type="dxa"/>
            <w:noWrap/>
          </w:tcPr>
          <w:p w:rsidR="0099732A" w:rsidRPr="0099732A" w:rsidRDefault="0099732A" w:rsidP="003304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Person-years</w:t>
            </w:r>
            <w:proofErr w:type="spellEnd"/>
          </w:p>
        </w:tc>
        <w:tc>
          <w:tcPr>
            <w:tcW w:w="992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30809.9</w:t>
            </w:r>
          </w:p>
        </w:tc>
        <w:tc>
          <w:tcPr>
            <w:tcW w:w="137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5669.9</w:t>
            </w:r>
          </w:p>
        </w:tc>
        <w:tc>
          <w:tcPr>
            <w:tcW w:w="137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5533.7</w:t>
            </w:r>
          </w:p>
        </w:tc>
        <w:tc>
          <w:tcPr>
            <w:tcW w:w="1513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3329.9</w:t>
            </w:r>
          </w:p>
        </w:tc>
        <w:tc>
          <w:tcPr>
            <w:tcW w:w="148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732A" w:rsidRPr="0099732A" w:rsidTr="0099732A">
        <w:trPr>
          <w:trHeight w:val="262"/>
          <w:jc w:val="center"/>
        </w:trPr>
        <w:tc>
          <w:tcPr>
            <w:tcW w:w="1843" w:type="dxa"/>
            <w:noWrap/>
          </w:tcPr>
          <w:p w:rsidR="0099732A" w:rsidRPr="0099732A" w:rsidRDefault="0099732A" w:rsidP="003304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Incidence</w:t>
            </w:r>
            <w:proofErr w:type="spellEnd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/1000 </w:t>
            </w:r>
            <w:proofErr w:type="spellStart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person-years</w:t>
            </w:r>
            <w:proofErr w:type="spellEnd"/>
          </w:p>
        </w:tc>
        <w:tc>
          <w:tcPr>
            <w:tcW w:w="992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7.82</w:t>
            </w:r>
          </w:p>
        </w:tc>
        <w:tc>
          <w:tcPr>
            <w:tcW w:w="137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8.81</w:t>
            </w:r>
          </w:p>
        </w:tc>
        <w:tc>
          <w:tcPr>
            <w:tcW w:w="1370" w:type="dxa"/>
            <w:noWrap/>
          </w:tcPr>
          <w:p w:rsidR="0099732A" w:rsidRPr="0099732A" w:rsidRDefault="0099732A" w:rsidP="0033041C">
            <w:pPr>
              <w:tabs>
                <w:tab w:val="left" w:pos="620"/>
                <w:tab w:val="center" w:pos="855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18.43</w:t>
            </w:r>
          </w:p>
        </w:tc>
        <w:tc>
          <w:tcPr>
            <w:tcW w:w="1513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21.32</w:t>
            </w:r>
          </w:p>
        </w:tc>
        <w:tc>
          <w:tcPr>
            <w:tcW w:w="148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732A" w:rsidRPr="0099732A" w:rsidTr="0099732A">
        <w:trPr>
          <w:trHeight w:val="262"/>
          <w:jc w:val="center"/>
        </w:trPr>
        <w:tc>
          <w:tcPr>
            <w:tcW w:w="1843" w:type="dxa"/>
            <w:tcBorders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Multivariate</w:t>
            </w:r>
            <w:proofErr w:type="spellEnd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model</w:t>
            </w:r>
            <w:proofErr w:type="spellEnd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99732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</w:t>
            </w:r>
            <w:proofErr w:type="spellStart"/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  <w:proofErr w:type="spellEnd"/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70" w:type="dxa"/>
            <w:tcBorders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 (0.59-1.33)</w:t>
            </w:r>
          </w:p>
        </w:tc>
        <w:tc>
          <w:tcPr>
            <w:tcW w:w="1370" w:type="dxa"/>
            <w:tcBorders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 (1.08-2.07)</w:t>
            </w:r>
          </w:p>
        </w:tc>
        <w:tc>
          <w:tcPr>
            <w:tcW w:w="1513" w:type="dxa"/>
            <w:tcBorders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 (1.24-2.89)</w:t>
            </w:r>
          </w:p>
        </w:tc>
        <w:tc>
          <w:tcPr>
            <w:tcW w:w="1480" w:type="dxa"/>
            <w:tcBorders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99732A" w:rsidRPr="0099732A" w:rsidTr="0099732A">
        <w:trPr>
          <w:trHeight w:val="262"/>
          <w:jc w:val="center"/>
        </w:trPr>
        <w:tc>
          <w:tcPr>
            <w:tcW w:w="1843" w:type="dxa"/>
            <w:tcBorders>
              <w:top w:val="single" w:sz="18" w:space="0" w:color="auto"/>
            </w:tcBorders>
            <w:noWrap/>
          </w:tcPr>
          <w:p w:rsidR="0099732A" w:rsidRPr="0099732A" w:rsidRDefault="0099732A" w:rsidP="003304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top w:val="single" w:sz="18" w:space="0" w:color="auto"/>
              <w:bottom w:val="single" w:sz="8" w:space="0" w:color="auto"/>
            </w:tcBorders>
            <w:noWrap/>
          </w:tcPr>
          <w:p w:rsidR="0099732A" w:rsidRPr="0099732A" w:rsidRDefault="0099732A" w:rsidP="007462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Metabolic health and obesity states based on </w:t>
            </w:r>
            <w:r w:rsidRPr="009973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ATP-III </w:t>
            </w:r>
            <w:proofErr w:type="spellStart"/>
            <w:r w:rsidRPr="009973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criteria</w:t>
            </w:r>
            <w:r w:rsidRPr="0099732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80" w:type="dxa"/>
            <w:tcBorders>
              <w:top w:val="single" w:sz="18" w:space="0" w:color="auto"/>
              <w:bottom w:val="single" w:sz="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99732A" w:rsidRPr="0099732A" w:rsidTr="0099732A">
        <w:trPr>
          <w:trHeight w:val="262"/>
          <w:jc w:val="center"/>
        </w:trPr>
        <w:tc>
          <w:tcPr>
            <w:tcW w:w="1843" w:type="dxa"/>
            <w:tcBorders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tabs>
                <w:tab w:val="center" w:pos="1097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b/>
                <w:sz w:val="18"/>
                <w:szCs w:val="18"/>
              </w:rPr>
              <w:t>MHNO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b/>
                <w:sz w:val="18"/>
                <w:szCs w:val="18"/>
              </w:rPr>
              <w:t>MHO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b/>
                <w:sz w:val="18"/>
                <w:szCs w:val="18"/>
              </w:rPr>
              <w:t>MUNO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b/>
                <w:sz w:val="18"/>
                <w:szCs w:val="18"/>
              </w:rPr>
              <w:t>MUO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18" w:space="0" w:color="auto"/>
            </w:tcBorders>
            <w:noWrap/>
          </w:tcPr>
          <w:p w:rsidR="0099732A" w:rsidRPr="0099732A" w:rsidRDefault="0099732A" w:rsidP="0099732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9973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for interaction</w:t>
            </w:r>
          </w:p>
        </w:tc>
      </w:tr>
      <w:tr w:rsidR="0099732A" w:rsidRPr="0099732A" w:rsidTr="0099732A">
        <w:trPr>
          <w:trHeight w:val="262"/>
          <w:jc w:val="center"/>
        </w:trPr>
        <w:tc>
          <w:tcPr>
            <w:tcW w:w="1843" w:type="dxa"/>
            <w:noWrap/>
          </w:tcPr>
          <w:p w:rsidR="0099732A" w:rsidRPr="0099732A" w:rsidRDefault="0099732A" w:rsidP="003304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3189</w:t>
            </w:r>
          </w:p>
        </w:tc>
        <w:tc>
          <w:tcPr>
            <w:tcW w:w="137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37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732</w:t>
            </w:r>
          </w:p>
        </w:tc>
        <w:tc>
          <w:tcPr>
            <w:tcW w:w="1513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456</w:t>
            </w:r>
          </w:p>
        </w:tc>
        <w:tc>
          <w:tcPr>
            <w:tcW w:w="148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9732A" w:rsidRPr="0099732A" w:rsidTr="0099732A">
        <w:trPr>
          <w:trHeight w:val="262"/>
          <w:jc w:val="center"/>
        </w:trPr>
        <w:tc>
          <w:tcPr>
            <w:tcW w:w="1843" w:type="dxa"/>
            <w:noWrap/>
          </w:tcPr>
          <w:p w:rsidR="0099732A" w:rsidRPr="0099732A" w:rsidRDefault="0099732A" w:rsidP="003304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Number of incident </w:t>
            </w:r>
          </w:p>
          <w:p w:rsidR="0099732A" w:rsidRPr="0099732A" w:rsidRDefault="0099732A" w:rsidP="0099732A">
            <w:pPr>
              <w:ind w:left="31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cases of CVD</w:t>
            </w:r>
          </w:p>
        </w:tc>
        <w:tc>
          <w:tcPr>
            <w:tcW w:w="992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137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37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1513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48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9732A" w:rsidRPr="0099732A" w:rsidTr="0099732A">
        <w:trPr>
          <w:trHeight w:val="262"/>
          <w:jc w:val="center"/>
        </w:trPr>
        <w:tc>
          <w:tcPr>
            <w:tcW w:w="1843" w:type="dxa"/>
            <w:noWrap/>
          </w:tcPr>
          <w:p w:rsidR="0099732A" w:rsidRPr="0099732A" w:rsidRDefault="0099732A" w:rsidP="003304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Incidence</w:t>
            </w:r>
            <w:proofErr w:type="spellEnd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992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6.96</w:t>
            </w:r>
          </w:p>
        </w:tc>
        <w:tc>
          <w:tcPr>
            <w:tcW w:w="137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8.47</w:t>
            </w:r>
          </w:p>
        </w:tc>
        <w:tc>
          <w:tcPr>
            <w:tcW w:w="137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16.53</w:t>
            </w:r>
          </w:p>
        </w:tc>
        <w:tc>
          <w:tcPr>
            <w:tcW w:w="1513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14.91</w:t>
            </w:r>
          </w:p>
        </w:tc>
        <w:tc>
          <w:tcPr>
            <w:tcW w:w="148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9732A" w:rsidRPr="0099732A" w:rsidTr="0099732A">
        <w:trPr>
          <w:trHeight w:val="262"/>
          <w:jc w:val="center"/>
        </w:trPr>
        <w:tc>
          <w:tcPr>
            <w:tcW w:w="1843" w:type="dxa"/>
            <w:noWrap/>
          </w:tcPr>
          <w:p w:rsidR="0099732A" w:rsidRPr="0099732A" w:rsidRDefault="0099732A" w:rsidP="003304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Person-years</w:t>
            </w:r>
            <w:proofErr w:type="spellEnd"/>
          </w:p>
        </w:tc>
        <w:tc>
          <w:tcPr>
            <w:tcW w:w="992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30010.2</w:t>
            </w:r>
          </w:p>
        </w:tc>
        <w:tc>
          <w:tcPr>
            <w:tcW w:w="137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5385.1</w:t>
            </w:r>
          </w:p>
        </w:tc>
        <w:tc>
          <w:tcPr>
            <w:tcW w:w="137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6333.4</w:t>
            </w:r>
          </w:p>
        </w:tc>
        <w:tc>
          <w:tcPr>
            <w:tcW w:w="1513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3614.8</w:t>
            </w:r>
          </w:p>
        </w:tc>
        <w:tc>
          <w:tcPr>
            <w:tcW w:w="148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9732A" w:rsidRPr="0099732A" w:rsidTr="0099732A">
        <w:trPr>
          <w:trHeight w:val="262"/>
          <w:jc w:val="center"/>
        </w:trPr>
        <w:tc>
          <w:tcPr>
            <w:tcW w:w="1843" w:type="dxa"/>
            <w:noWrap/>
          </w:tcPr>
          <w:p w:rsidR="0099732A" w:rsidRPr="0099732A" w:rsidRDefault="0099732A" w:rsidP="003304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Incidence</w:t>
            </w:r>
            <w:proofErr w:type="spellEnd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/1000 </w:t>
            </w:r>
            <w:proofErr w:type="spellStart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person-years</w:t>
            </w:r>
            <w:proofErr w:type="spellEnd"/>
          </w:p>
        </w:tc>
        <w:tc>
          <w:tcPr>
            <w:tcW w:w="992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7.39</w:t>
            </w:r>
          </w:p>
        </w:tc>
        <w:tc>
          <w:tcPr>
            <w:tcW w:w="137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9.84</w:t>
            </w:r>
          </w:p>
        </w:tc>
        <w:tc>
          <w:tcPr>
            <w:tcW w:w="137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19.10</w:t>
            </w:r>
          </w:p>
        </w:tc>
        <w:tc>
          <w:tcPr>
            <w:tcW w:w="1513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18.81</w:t>
            </w:r>
          </w:p>
        </w:tc>
        <w:tc>
          <w:tcPr>
            <w:tcW w:w="1480" w:type="dxa"/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9732A" w:rsidRPr="0099732A" w:rsidTr="0099732A">
        <w:trPr>
          <w:trHeight w:val="262"/>
          <w:jc w:val="center"/>
        </w:trPr>
        <w:tc>
          <w:tcPr>
            <w:tcW w:w="1843" w:type="dxa"/>
            <w:tcBorders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Multivariate</w:t>
            </w:r>
            <w:proofErr w:type="spellEnd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3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model</w:t>
            </w:r>
            <w:proofErr w:type="spellEnd"/>
            <w:r w:rsidRPr="0099732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</w:t>
            </w:r>
            <w:proofErr w:type="spellStart"/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</w:t>
            </w:r>
            <w:proofErr w:type="spellEnd"/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70" w:type="dxa"/>
            <w:tcBorders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 (0.72-1.61)</w:t>
            </w:r>
          </w:p>
        </w:tc>
        <w:tc>
          <w:tcPr>
            <w:tcW w:w="1370" w:type="dxa"/>
            <w:tcBorders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1.38 (1.07-1.77)</w:t>
            </w:r>
          </w:p>
        </w:tc>
        <w:tc>
          <w:tcPr>
            <w:tcW w:w="1513" w:type="dxa"/>
            <w:tcBorders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1.40 (0.94-2.10)</w:t>
            </w:r>
          </w:p>
        </w:tc>
        <w:tc>
          <w:tcPr>
            <w:tcW w:w="1480" w:type="dxa"/>
            <w:tcBorders>
              <w:bottom w:val="single" w:sz="18" w:space="0" w:color="auto"/>
            </w:tcBorders>
            <w:noWrap/>
          </w:tcPr>
          <w:p w:rsidR="0099732A" w:rsidRPr="0099732A" w:rsidRDefault="0099732A" w:rsidP="003304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99732A" w:rsidRPr="0099732A" w:rsidTr="0099732A">
        <w:trPr>
          <w:trHeight w:val="789"/>
          <w:jc w:val="center"/>
        </w:trPr>
        <w:tc>
          <w:tcPr>
            <w:tcW w:w="8568" w:type="dxa"/>
            <w:gridSpan w:val="6"/>
            <w:tcBorders>
              <w:top w:val="single" w:sz="18" w:space="0" w:color="auto"/>
            </w:tcBorders>
            <w:noWrap/>
          </w:tcPr>
          <w:p w:rsidR="0099732A" w:rsidRPr="0099732A" w:rsidRDefault="0099732A" w:rsidP="00776E44">
            <w:pPr>
              <w:rPr>
                <w:b/>
                <w:sz w:val="18"/>
                <w:szCs w:val="18"/>
                <w:lang w:val="en-GB"/>
              </w:rPr>
            </w:pPr>
            <w:proofErr w:type="gramStart"/>
            <w:r w:rsidRPr="0099732A">
              <w:rPr>
                <w:sz w:val="18"/>
                <w:szCs w:val="18"/>
                <w:vertAlign w:val="superscript"/>
                <w:lang w:val="en-GB"/>
              </w:rPr>
              <w:t>a</w:t>
            </w:r>
            <w:proofErr w:type="gramEnd"/>
            <w:r w:rsidRPr="0099732A">
              <w:rPr>
                <w:sz w:val="18"/>
                <w:szCs w:val="18"/>
                <w:lang w:val="en-GB"/>
              </w:rPr>
              <w:t xml:space="preserve"> MHNO:  metabolically healthy non-obese, MHO: metabolically healthy obese, MUNO: metabolically unhealthy non obese, MUO: metabolically unhealthy obese. </w:t>
            </w:r>
            <w:r w:rsidRPr="009973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 </w:t>
            </w:r>
            <w:proofErr w:type="gramStart"/>
            <w:r w:rsidRPr="009973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gramEnd"/>
            <w:r w:rsidRPr="009973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Adjusted for</w:t>
            </w:r>
            <w:r w:rsidRPr="00997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973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age, sex, BMI, cigarette smoking, daily alcohol intake, lifestyle pattern, hypertension, type 2 diabetes, </w:t>
            </w:r>
            <w:proofErr w:type="spellStart"/>
            <w:r w:rsidRPr="009973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antiaggregation</w:t>
            </w:r>
            <w:proofErr w:type="spellEnd"/>
            <w:r w:rsidRPr="009973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therapy, HDL-C, LDL-C and TG.</w:t>
            </w:r>
          </w:p>
        </w:tc>
      </w:tr>
    </w:tbl>
    <w:p w:rsidR="000A595D" w:rsidRPr="0099732A" w:rsidRDefault="000A595D" w:rsidP="00776E44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sectPr w:rsidR="000A595D" w:rsidRPr="0099732A" w:rsidSect="00776E44">
      <w:headerReference w:type="default" r:id="rId6"/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F8" w:rsidRDefault="00FD16F8" w:rsidP="001F1DF3">
      <w:r>
        <w:separator/>
      </w:r>
    </w:p>
  </w:endnote>
  <w:endnote w:type="continuationSeparator" w:id="0">
    <w:p w:rsidR="00FD16F8" w:rsidRDefault="00FD16F8" w:rsidP="001F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F8" w:rsidRDefault="00FD16F8" w:rsidP="001F1DF3">
      <w:r>
        <w:separator/>
      </w:r>
    </w:p>
  </w:footnote>
  <w:footnote w:type="continuationSeparator" w:id="0">
    <w:p w:rsidR="00FD16F8" w:rsidRDefault="00FD16F8" w:rsidP="001F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3D" w:rsidRDefault="004B4E3D" w:rsidP="004B4E3D">
    <w:pPr>
      <w:pStyle w:val="Header"/>
    </w:pPr>
    <w:r>
      <w:t xml:space="preserve">1090     </w:t>
    </w:r>
    <w:proofErr w:type="spellStart"/>
    <w:r>
      <w:t>either</w:t>
    </w:r>
    <w:proofErr w:type="spellEnd"/>
    <w:r>
      <w:t xml:space="preserve">     </w:t>
    </w:r>
    <w:proofErr w:type="spellStart"/>
    <w:r>
      <w:t>Cat</w:t>
    </w:r>
    <w:proofErr w:type="spellEnd"/>
    <w:r>
      <w:t xml:space="preserve">: </w:t>
    </w:r>
    <w:proofErr w:type="spellStart"/>
    <w:r>
      <w:rPr>
        <w:rFonts w:ascii="Times" w:hAnsi="Times" w:cs="Times"/>
        <w:color w:val="1A1A1A"/>
        <w:sz w:val="26"/>
        <w:szCs w:val="26"/>
        <w:u w:color="1A1A1A"/>
        <w:lang w:val="es-ES"/>
      </w:rPr>
      <w:t>Modification</w:t>
    </w:r>
    <w:proofErr w:type="spellEnd"/>
    <w:r>
      <w:rPr>
        <w:rFonts w:ascii="Times" w:hAnsi="Times" w:cs="Times"/>
        <w:color w:val="1A1A1A"/>
        <w:sz w:val="26"/>
        <w:szCs w:val="26"/>
        <w:u w:color="1A1A1A"/>
        <w:lang w:val="es-ES"/>
      </w:rPr>
      <w:t xml:space="preserve"> of </w:t>
    </w:r>
    <w:proofErr w:type="spellStart"/>
    <w:r>
      <w:rPr>
        <w:rFonts w:ascii="Times" w:hAnsi="Times" w:cs="Times"/>
        <w:color w:val="1A1A1A"/>
        <w:sz w:val="26"/>
        <w:szCs w:val="26"/>
        <w:u w:color="1A1A1A"/>
        <w:lang w:val="es-ES"/>
      </w:rPr>
      <w:t>lipoproteins</w:t>
    </w:r>
    <w:proofErr w:type="spellEnd"/>
    <w:r>
      <w:rPr>
        <w:rFonts w:ascii="Times" w:hAnsi="Times" w:cs="Times"/>
        <w:color w:val="1A1A1A"/>
        <w:sz w:val="26"/>
        <w:szCs w:val="26"/>
        <w:u w:color="1A1A1A"/>
        <w:lang w:val="es-ES"/>
      </w:rPr>
      <w:t xml:space="preserve"> and </w:t>
    </w:r>
    <w:proofErr w:type="spellStart"/>
    <w:r>
      <w:rPr>
        <w:rFonts w:ascii="Times" w:hAnsi="Times" w:cs="Times"/>
        <w:color w:val="1A1A1A"/>
        <w:sz w:val="26"/>
        <w:szCs w:val="26"/>
        <w:u w:color="1A1A1A"/>
        <w:lang w:val="es-ES"/>
      </w:rPr>
      <w:t>coronary</w:t>
    </w:r>
    <w:proofErr w:type="spellEnd"/>
    <w:r>
      <w:rPr>
        <w:rFonts w:ascii="Times" w:hAnsi="Times" w:cs="Times"/>
        <w:color w:val="1A1A1A"/>
        <w:sz w:val="26"/>
        <w:szCs w:val="26"/>
        <w:u w:color="1A1A1A"/>
        <w:lang w:val="es-ES"/>
      </w:rPr>
      <w:t xml:space="preserve"> </w:t>
    </w:r>
    <w:proofErr w:type="spellStart"/>
    <w:r>
      <w:rPr>
        <w:rFonts w:ascii="Times" w:hAnsi="Times" w:cs="Times"/>
        <w:color w:val="1A1A1A"/>
        <w:sz w:val="26"/>
        <w:szCs w:val="26"/>
        <w:u w:color="1A1A1A"/>
        <w:lang w:val="es-ES"/>
      </w:rPr>
      <w:t>disease</w:t>
    </w:r>
    <w:proofErr w:type="spellEnd"/>
  </w:p>
  <w:p w:rsidR="0033041C" w:rsidRPr="004B4E3D" w:rsidRDefault="00330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DF"/>
    <w:rsid w:val="000009C7"/>
    <w:rsid w:val="0007000B"/>
    <w:rsid w:val="000A595D"/>
    <w:rsid w:val="000E26FB"/>
    <w:rsid w:val="00186C13"/>
    <w:rsid w:val="00186F36"/>
    <w:rsid w:val="001F1DF3"/>
    <w:rsid w:val="002105C6"/>
    <w:rsid w:val="002B64DF"/>
    <w:rsid w:val="002C1F36"/>
    <w:rsid w:val="0033041C"/>
    <w:rsid w:val="003D4E5B"/>
    <w:rsid w:val="003E65BE"/>
    <w:rsid w:val="004352B3"/>
    <w:rsid w:val="004B4E3D"/>
    <w:rsid w:val="004F4D62"/>
    <w:rsid w:val="00512045"/>
    <w:rsid w:val="005A22B4"/>
    <w:rsid w:val="0066065E"/>
    <w:rsid w:val="00693D0C"/>
    <w:rsid w:val="006C4A39"/>
    <w:rsid w:val="00702832"/>
    <w:rsid w:val="00746246"/>
    <w:rsid w:val="007621D6"/>
    <w:rsid w:val="00776E44"/>
    <w:rsid w:val="00782DD9"/>
    <w:rsid w:val="007E2BFC"/>
    <w:rsid w:val="00952CAD"/>
    <w:rsid w:val="0099732A"/>
    <w:rsid w:val="009B0054"/>
    <w:rsid w:val="009D7AE9"/>
    <w:rsid w:val="00A51675"/>
    <w:rsid w:val="00B44E06"/>
    <w:rsid w:val="00B552C9"/>
    <w:rsid w:val="00B67812"/>
    <w:rsid w:val="00B86DBF"/>
    <w:rsid w:val="00C533F3"/>
    <w:rsid w:val="00C567CF"/>
    <w:rsid w:val="00CA7DD6"/>
    <w:rsid w:val="00D105A6"/>
    <w:rsid w:val="00E25F8E"/>
    <w:rsid w:val="00E733FE"/>
    <w:rsid w:val="00FA6E80"/>
    <w:rsid w:val="00FC123A"/>
    <w:rsid w:val="00F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53E633-6526-4505-9E62-EB7FD2DC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B6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F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B0054"/>
    <w:pPr>
      <w:spacing w:after="324"/>
    </w:pPr>
    <w:rPr>
      <w:rFonts w:ascii="Times New Roman" w:eastAsia="Times New Roman" w:hAnsi="Times New Roman" w:cs="Times New Roman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1F1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DF3"/>
  </w:style>
  <w:style w:type="paragraph" w:styleId="Footer">
    <w:name w:val="footer"/>
    <w:basedOn w:val="Normal"/>
    <w:link w:val="FooterChar"/>
    <w:uiPriority w:val="99"/>
    <w:unhideWhenUsed/>
    <w:rsid w:val="001F1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Sánchez</dc:creator>
  <cp:lastModifiedBy>Karyn-PC</cp:lastModifiedBy>
  <cp:revision>3</cp:revision>
  <dcterms:created xsi:type="dcterms:W3CDTF">2016-02-24T13:11:00Z</dcterms:created>
  <dcterms:modified xsi:type="dcterms:W3CDTF">2016-07-09T12:02:00Z</dcterms:modified>
</cp:coreProperties>
</file>